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6666" w:rsidRPr="003A6666" w:rsidRDefault="003A6666" w:rsidP="003A6666">
      <w:pPr>
        <w:rPr>
          <w:b/>
          <w:bCs/>
          <w:sz w:val="28"/>
          <w:szCs w:val="28"/>
        </w:rPr>
      </w:pPr>
      <w:r w:rsidRPr="003A6666">
        <w:rPr>
          <w:b/>
          <w:bCs/>
          <w:sz w:val="28"/>
          <w:szCs w:val="28"/>
        </w:rPr>
        <w:t>Una Técnica Simple Para Cuantificar La Apoptosis De Ovocitos Madurados In Vitro En Bovinos</w:t>
      </w:r>
    </w:p>
    <w:p w:rsidR="003A6666" w:rsidRDefault="003A6666" w:rsidP="003A6666">
      <w:pPr>
        <w:jc w:val="center"/>
      </w:pPr>
      <w:r>
        <w:t xml:space="preserve">Juan </w:t>
      </w:r>
      <w:proofErr w:type="spellStart"/>
      <w:r>
        <w:t>perez</w:t>
      </w:r>
      <w:proofErr w:type="spellEnd"/>
      <w:r>
        <w:t>; Ricardo Romanov; Christian Madueño; Lilian Pardo</w:t>
      </w:r>
    </w:p>
    <w:p w:rsidR="003A6666" w:rsidRDefault="003A6666" w:rsidP="003A6666">
      <w:r>
        <w:t xml:space="preserve">1 </w:t>
      </w:r>
      <w:proofErr w:type="gramStart"/>
      <w:r>
        <w:t>Laboratorio</w:t>
      </w:r>
      <w:proofErr w:type="gramEnd"/>
      <w:r>
        <w:t xml:space="preserve"> de Biotecnología Animal, Departamento de Ciencia Animal, Facultad de Ciencias Veterinarias, Universidad de la Complutense República, Loja, Ecuador, Chile.</w:t>
      </w:r>
    </w:p>
    <w:p w:rsidR="003A6666" w:rsidRDefault="003A6666" w:rsidP="003A6666">
      <w:r>
        <w:t xml:space="preserve">Dirección: Avenida </w:t>
      </w:r>
      <w:proofErr w:type="spellStart"/>
      <w:r>
        <w:t>Victory</w:t>
      </w:r>
      <w:proofErr w:type="spellEnd"/>
      <w:r>
        <w:t xml:space="preserve"> Reich 595, Loja, Ecuador.</w:t>
      </w:r>
    </w:p>
    <w:p w:rsidR="003A6666" w:rsidRDefault="003A6666" w:rsidP="003A6666">
      <w:r>
        <w:t>Email:</w:t>
      </w:r>
    </w:p>
    <w:p w:rsidR="003A6666" w:rsidRDefault="003A6666" w:rsidP="003A6666">
      <w:pPr>
        <w:spacing w:line="240" w:lineRule="auto"/>
      </w:pPr>
      <w:r>
        <w:t xml:space="preserve">Juan </w:t>
      </w:r>
      <w:proofErr w:type="spellStart"/>
      <w:r>
        <w:t>perez</w:t>
      </w:r>
      <w:proofErr w:type="spellEnd"/>
      <w:r>
        <w:t>; juperez@ucr.ec</w:t>
      </w:r>
    </w:p>
    <w:p w:rsidR="003A6666" w:rsidRDefault="003A6666" w:rsidP="003A6666">
      <w:pPr>
        <w:spacing w:line="240" w:lineRule="auto"/>
      </w:pPr>
      <w:r>
        <w:t>Ricardo Romanov; rromanov@ucr.ec</w:t>
      </w:r>
    </w:p>
    <w:p w:rsidR="003A6666" w:rsidRDefault="003A6666" w:rsidP="003A6666">
      <w:pPr>
        <w:spacing w:line="240" w:lineRule="auto"/>
      </w:pPr>
      <w:r>
        <w:t>Christian Madueño; chmadueno@ucr.ec</w:t>
      </w:r>
    </w:p>
    <w:p w:rsidR="003A6666" w:rsidRDefault="003A6666" w:rsidP="003A6666">
      <w:pPr>
        <w:spacing w:line="240" w:lineRule="auto"/>
      </w:pPr>
      <w:r>
        <w:t xml:space="preserve">Lilian Pardo; </w:t>
      </w:r>
      <w:r w:rsidRPr="003A6666">
        <w:t>Lilian-pardo@ucr.ec</w:t>
      </w:r>
      <w:r>
        <w:t xml:space="preserve">    </w:t>
      </w:r>
      <w:proofErr w:type="gramStart"/>
      <w:r>
        <w:t xml:space="preserve">  </w:t>
      </w:r>
      <w:r>
        <w:t xml:space="preserve"> (</w:t>
      </w:r>
      <w:proofErr w:type="gramEnd"/>
      <w:r>
        <w:t>autor correspondiente)</w:t>
      </w:r>
    </w:p>
    <w:p w:rsidR="003A6666" w:rsidRDefault="003A6666" w:rsidP="003A6666"/>
    <w:p w:rsidR="003A6666" w:rsidRPr="003A6666" w:rsidRDefault="003A6666" w:rsidP="003A6666">
      <w:pPr>
        <w:jc w:val="both"/>
      </w:pPr>
      <w:r w:rsidRPr="003A6666">
        <w:t xml:space="preserve">La apoptosis se caracteriza por fragmentación citoplasmática y nuclear, condensación de cromatina y fragmentación de ADN. Los métodos disponibles actualmente para cuantificar la apoptosis tienen varias limitaciones: (a) diferentes métodos de tinción que implican múltiples pasos, (b) dificultad para cuantificar la fluorescencia celular y (c) detección no específica. El objetivo de este estudio fue cuantificar la apoptosis del </w:t>
      </w:r>
      <w:r>
        <w:t>bovino</w:t>
      </w:r>
      <w:r w:rsidRPr="003A6666">
        <w:t xml:space="preserve"> lechero</w:t>
      </w:r>
      <w:r>
        <w:t xml:space="preserve"> y carne</w:t>
      </w:r>
      <w:r w:rsidRPr="003A6666">
        <w:t xml:space="preserve"> madurado in vitro, utilizando naranja</w:t>
      </w:r>
      <w:r>
        <w:t xml:space="preserve"> de </w:t>
      </w:r>
      <w:proofErr w:type="gramStart"/>
      <w:r>
        <w:t>acridina</w:t>
      </w:r>
      <w:r w:rsidRPr="003A6666">
        <w:t xml:space="preserve"> </w:t>
      </w:r>
      <w:r>
        <w:t xml:space="preserve"> y</w:t>
      </w:r>
      <w:proofErr w:type="gramEnd"/>
      <w:r>
        <w:t xml:space="preserve"> </w:t>
      </w:r>
      <w:proofErr w:type="spellStart"/>
      <w:r>
        <w:t>propidio</w:t>
      </w:r>
      <w:proofErr w:type="spellEnd"/>
      <w:r>
        <w:t xml:space="preserve"> </w:t>
      </w:r>
      <w:r w:rsidRPr="003A6666">
        <w:t>yod</w:t>
      </w:r>
      <w:r>
        <w:t>ado</w:t>
      </w:r>
      <w:r w:rsidRPr="003A6666">
        <w:t xml:space="preserve"> (AO / PI) y  la fluorescencia total en </w:t>
      </w:r>
      <w:r>
        <w:t>las</w:t>
      </w:r>
      <w:r w:rsidRPr="003A6666">
        <w:t xml:space="preserve"> célula </w:t>
      </w:r>
      <w:r>
        <w:t xml:space="preserve">fue cuantificado </w:t>
      </w:r>
      <w:r w:rsidRPr="003A6666">
        <w:t>utilizando el software de imagen J. Los ovarios de las vacas</w:t>
      </w:r>
      <w:r>
        <w:t xml:space="preserve"> de leche</w:t>
      </w:r>
      <w:r w:rsidRPr="003A6666">
        <w:t xml:space="preserve"> y carne fueron recolectados en un matadero y transportados dentro de 2 horas al laboratorio. Los </w:t>
      </w:r>
      <w:r>
        <w:t xml:space="preserve">complejos </w:t>
      </w:r>
      <w:r w:rsidRPr="003A6666">
        <w:t>cúmulos-ovocitos (</w:t>
      </w:r>
      <w:r>
        <w:t>COC</w:t>
      </w:r>
      <w:r w:rsidRPr="003A6666">
        <w:t>) se recuperaron por aspiración folicular con una aguja 20G y una jeringa. Los COC recuperados (calidad 1 y 2) se maduraron individualmente durante 23 h</w:t>
      </w:r>
      <w:r>
        <w:t xml:space="preserve"> </w:t>
      </w:r>
      <w:r w:rsidRPr="003A6666">
        <w:t xml:space="preserve">a 39 °C </w:t>
      </w:r>
      <w:r>
        <w:t>en</w:t>
      </w:r>
      <w:r w:rsidRPr="003A6666">
        <w:t xml:space="preserve"> 5% de CO2. Para cuantificar la expansión del cúmulo, se midió el área del cúmulo en </w:t>
      </w:r>
      <w:r>
        <w:t>COC</w:t>
      </w:r>
      <w:r w:rsidRPr="003A6666">
        <w:t xml:space="preserve"> individuales antes y después de la maduración in vitro. Los ovocitos maduros se incubaron a 37 ° C en 10 </w:t>
      </w:r>
      <w:proofErr w:type="spellStart"/>
      <w:r w:rsidRPr="003A6666">
        <w:t>ul</w:t>
      </w:r>
      <w:proofErr w:type="spellEnd"/>
      <w:r w:rsidRPr="003A6666">
        <w:t xml:space="preserve"> de PBS suplementado con una solución de tinción fluorescente dual (AO / PI, Logos </w:t>
      </w:r>
      <w:proofErr w:type="spellStart"/>
      <w:r w:rsidRPr="003A6666">
        <w:t>Biosystems</w:t>
      </w:r>
      <w:proofErr w:type="spellEnd"/>
      <w:r w:rsidRPr="003A6666">
        <w:t xml:space="preserve">) durante 5 minutos antes de la visualización. La morfología de las células apoptóticas se </w:t>
      </w:r>
      <w:r>
        <w:t>determinó</w:t>
      </w:r>
      <w:r w:rsidRPr="003A6666">
        <w:t xml:space="preserve"> </w:t>
      </w:r>
      <w:r>
        <w:t>a</w:t>
      </w:r>
      <w:r w:rsidRPr="003A6666">
        <w:t xml:space="preserve"> 10 minutos utilizando un microscopio fluorescente invertido (EVOS TL, </w:t>
      </w:r>
      <w:proofErr w:type="spellStart"/>
      <w:r w:rsidRPr="003A6666">
        <w:t>Thermo</w:t>
      </w:r>
      <w:proofErr w:type="spellEnd"/>
      <w:r w:rsidRPr="003A6666">
        <w:t xml:space="preserve"> Fisher </w:t>
      </w:r>
      <w:proofErr w:type="spellStart"/>
      <w:r w:rsidRPr="003A6666">
        <w:t>Scientific</w:t>
      </w:r>
      <w:proofErr w:type="spellEnd"/>
      <w:r w:rsidRPr="003A6666">
        <w:t xml:space="preserve"> </w:t>
      </w:r>
      <w:proofErr w:type="spellStart"/>
      <w:r w:rsidRPr="003A6666">
        <w:t>Inc</w:t>
      </w:r>
      <w:proofErr w:type="spellEnd"/>
      <w:r w:rsidRPr="003A6666">
        <w:t xml:space="preserve">) y se procesó con el software </w:t>
      </w:r>
      <w:proofErr w:type="spellStart"/>
      <w:r w:rsidRPr="003A6666">
        <w:t>image</w:t>
      </w:r>
      <w:proofErr w:type="spellEnd"/>
      <w:r w:rsidRPr="003A6666">
        <w:t xml:space="preserve"> J v 1.43u (https://imagej.nih.gov/ij). </w:t>
      </w:r>
      <w:proofErr w:type="spellStart"/>
      <w:r w:rsidRPr="003A6666">
        <w:t>ImageJ</w:t>
      </w:r>
      <w:proofErr w:type="spellEnd"/>
      <w:r w:rsidRPr="003A6666">
        <w:t xml:space="preserve"> está disponible en el dominio público (gratis). Las imágenes superpuestas se capturaron en formato de archivo TIFF con microscopio fluorescente invertido con canal GFP y RFP. Las imágenes se convirtieron a escala de grises de 8 bits y se seleccionaron diferentes canales para medir la fluorescencia. Las celdas de interés se seleccionaron usando cualquiera de las herramientas de dibujo / selección y se analizaron por área de medición, valor de gris medio y densidad integrada. La región al lado de la célula que no tiene </w:t>
      </w:r>
      <w:r w:rsidRPr="003A6666">
        <w:t>fluorescencia</w:t>
      </w:r>
      <w:r w:rsidRPr="003A6666">
        <w:t xml:space="preserve"> se consideró como fondo. El análisis de comparación entre grupos se realizó mediante análisis de varianza (ANOVA) utilizando el programa </w:t>
      </w:r>
      <w:proofErr w:type="spellStart"/>
      <w:r w:rsidRPr="003A6666">
        <w:t>InfoStat</w:t>
      </w:r>
      <w:proofErr w:type="spellEnd"/>
      <w:r w:rsidRPr="003A6666">
        <w:t xml:space="preserve"> (Buenos Aires, Argentina). Las diferencias se consideraron significativas a p &lt;0,05. El área de </w:t>
      </w:r>
      <w:r>
        <w:t>COC</w:t>
      </w:r>
      <w:r w:rsidRPr="003A6666">
        <w:t xml:space="preserve"> de las vacas lecheras (71 150 µm2) y de carne (110 745 µm2), antes de la maduración in vitro no mostró diferencias significativas (p = 0,074). El índice de apoptosis de las células del cúmulo de ovocitos madurados in vitro en vacas lecheras (26,3%) y de carne (30,6%) no mostró diferencias estadísticas (p = 0,65). Sin embargo, los </w:t>
      </w:r>
      <w:r w:rsidRPr="003A6666">
        <w:lastRenderedPageBreak/>
        <w:t xml:space="preserve">COC maduros in vitro </w:t>
      </w:r>
      <w:r w:rsidR="0061457A">
        <w:t>a</w:t>
      </w:r>
      <w:r w:rsidRPr="003A6666">
        <w:t xml:space="preserve"> 23 h </w:t>
      </w:r>
      <w:r w:rsidR="0061457A">
        <w:t>en</w:t>
      </w:r>
      <w:r w:rsidRPr="003A6666">
        <w:t xml:space="preserve"> vacas de carne (781 382 µm2) tuvieron una mayor expansión (7,05 versus 4,7 veces) que los COC de vacas lecheras (337 832 µm2) (p = 0,045). En conclusión, el protocolo </w:t>
      </w:r>
      <w:r w:rsidR="0061457A">
        <w:t>con</w:t>
      </w:r>
      <w:r w:rsidRPr="003A6666">
        <w:t xml:space="preserve"> </w:t>
      </w:r>
      <w:r w:rsidR="0061457A" w:rsidRPr="003A6666">
        <w:t>naranja</w:t>
      </w:r>
      <w:r w:rsidR="0061457A">
        <w:t xml:space="preserve"> de </w:t>
      </w:r>
      <w:proofErr w:type="gramStart"/>
      <w:r w:rsidR="0061457A">
        <w:t>acridina</w:t>
      </w:r>
      <w:r w:rsidR="0061457A" w:rsidRPr="003A6666">
        <w:t xml:space="preserve"> </w:t>
      </w:r>
      <w:r w:rsidR="0061457A">
        <w:t xml:space="preserve"> y</w:t>
      </w:r>
      <w:proofErr w:type="gramEnd"/>
      <w:r w:rsidR="0061457A">
        <w:t xml:space="preserve"> </w:t>
      </w:r>
      <w:proofErr w:type="spellStart"/>
      <w:r w:rsidR="0061457A">
        <w:t>propidio</w:t>
      </w:r>
      <w:proofErr w:type="spellEnd"/>
      <w:r w:rsidR="0061457A">
        <w:t xml:space="preserve"> </w:t>
      </w:r>
      <w:r w:rsidR="0061457A" w:rsidRPr="003A6666">
        <w:t>yod</w:t>
      </w:r>
      <w:r w:rsidR="0061457A">
        <w:t>ado</w:t>
      </w:r>
      <w:r w:rsidR="0061457A" w:rsidRPr="003A6666">
        <w:t xml:space="preserve"> </w:t>
      </w:r>
      <w:r w:rsidRPr="003A6666">
        <w:t xml:space="preserve">(AO / PI) es </w:t>
      </w:r>
      <w:r w:rsidR="0061457A">
        <w:t>un</w:t>
      </w:r>
      <w:r w:rsidRPr="003A6666">
        <w:t xml:space="preserve"> método simple y rápido para medir la apoptosis en las células del cúmulo de ovocitos. La imagen del programa J complementa el trabajo de tinción de fluorescencia y hace posible la medición de la fluorescencia de una célula de manera objetiva.</w:t>
      </w:r>
    </w:p>
    <w:p w:rsidR="003A6666" w:rsidRDefault="003A6666" w:rsidP="003A6666">
      <w:pPr>
        <w:rPr>
          <w:b/>
          <w:bCs/>
        </w:rPr>
      </w:pPr>
    </w:p>
    <w:p w:rsidR="000B752F" w:rsidRDefault="000B752F" w:rsidP="003A6666">
      <w:pPr>
        <w:rPr>
          <w:b/>
          <w:bCs/>
        </w:rPr>
      </w:pPr>
      <w:r w:rsidRPr="000B752F">
        <w:rPr>
          <w:b/>
          <w:bCs/>
        </w:rPr>
        <w:t xml:space="preserve">Este trabajo </w:t>
      </w:r>
      <w:r w:rsidRPr="000B752F">
        <w:rPr>
          <w:b/>
          <w:bCs/>
        </w:rPr>
        <w:t xml:space="preserve">fue </w:t>
      </w:r>
      <w:r>
        <w:rPr>
          <w:b/>
          <w:bCs/>
        </w:rPr>
        <w:t>financiado</w:t>
      </w:r>
      <w:r w:rsidRPr="000B752F">
        <w:rPr>
          <w:b/>
          <w:bCs/>
        </w:rPr>
        <w:t xml:space="preserve"> por 1012-2020 FONDECYT, Ecuador</w:t>
      </w:r>
    </w:p>
    <w:p w:rsidR="000B752F" w:rsidRDefault="000B752F" w:rsidP="003A6666">
      <w:pPr>
        <w:rPr>
          <w:b/>
          <w:bCs/>
        </w:rPr>
      </w:pPr>
    </w:p>
    <w:p w:rsidR="003A6666" w:rsidRPr="003A6666" w:rsidRDefault="000B752F" w:rsidP="003A6666">
      <w:pPr>
        <w:rPr>
          <w:b/>
          <w:bCs/>
        </w:rPr>
      </w:pPr>
      <w:r>
        <w:rPr>
          <w:b/>
          <w:bCs/>
        </w:rPr>
        <w:br w:type="page"/>
      </w:r>
      <w:bookmarkStart w:id="0" w:name="_GoBack"/>
      <w:bookmarkEnd w:id="0"/>
    </w:p>
    <w:p w:rsidR="003A6666" w:rsidRPr="003A6666" w:rsidRDefault="003A6666" w:rsidP="003A6666">
      <w:pPr>
        <w:rPr>
          <w:b/>
          <w:bCs/>
        </w:rPr>
      </w:pPr>
    </w:p>
    <w:p w:rsidR="003A6666" w:rsidRPr="003A6666" w:rsidRDefault="003A6666" w:rsidP="003A6666">
      <w:pPr>
        <w:rPr>
          <w:b/>
          <w:bCs/>
          <w:lang w:val="en-US"/>
        </w:rPr>
      </w:pPr>
      <w:r w:rsidRPr="003A6666">
        <w:rPr>
          <w:b/>
          <w:bCs/>
          <w:lang w:val="en-US"/>
        </w:rPr>
        <w:t>A SIMPLE TECHNIQUE FOR QUANTIFYING APOPTOSIS OF IN VITRO MATURED OOCYTES IN COWS</w:t>
      </w:r>
    </w:p>
    <w:p w:rsidR="003A6666" w:rsidRPr="003A6666" w:rsidRDefault="003A6666" w:rsidP="003A6666">
      <w:pPr>
        <w:rPr>
          <w:lang w:val="en-US"/>
        </w:rPr>
      </w:pPr>
    </w:p>
    <w:p w:rsidR="003A6666" w:rsidRPr="003A6666" w:rsidRDefault="003A6666" w:rsidP="003A6666">
      <w:pPr>
        <w:jc w:val="center"/>
      </w:pPr>
      <w:r w:rsidRPr="003A6666">
        <w:t xml:space="preserve">Juan </w:t>
      </w:r>
      <w:proofErr w:type="spellStart"/>
      <w:r w:rsidRPr="003A6666">
        <w:t>Perez</w:t>
      </w:r>
      <w:proofErr w:type="spellEnd"/>
      <w:r w:rsidRPr="003A6666">
        <w:t>; Ricardo Romanov; Chri</w:t>
      </w:r>
      <w:r>
        <w:t>stian Madueño; Lilian Pardo</w:t>
      </w:r>
    </w:p>
    <w:p w:rsidR="003A6666" w:rsidRDefault="003A6666" w:rsidP="003A6666">
      <w:pPr>
        <w:rPr>
          <w:lang w:val="en-US"/>
        </w:rPr>
      </w:pPr>
      <w:r w:rsidRPr="003A6666">
        <w:rPr>
          <w:lang w:val="en-US"/>
        </w:rPr>
        <w:t xml:space="preserve">1   Laboratory of Animal Biotechnology, Department of Animal Science, Faculty of Veterinary Science, Universidad de la </w:t>
      </w:r>
      <w:proofErr w:type="spellStart"/>
      <w:r w:rsidRPr="003A6666">
        <w:rPr>
          <w:lang w:val="en-US"/>
        </w:rPr>
        <w:t>Complutense</w:t>
      </w:r>
      <w:proofErr w:type="spellEnd"/>
      <w:r w:rsidRPr="003A6666">
        <w:rPr>
          <w:lang w:val="en-US"/>
        </w:rPr>
        <w:t xml:space="preserve"> </w:t>
      </w:r>
      <w:proofErr w:type="spellStart"/>
      <w:r w:rsidRPr="003A6666">
        <w:rPr>
          <w:lang w:val="en-US"/>
        </w:rPr>
        <w:t>República</w:t>
      </w:r>
      <w:proofErr w:type="spellEnd"/>
      <w:r w:rsidRPr="003A6666">
        <w:rPr>
          <w:lang w:val="en-US"/>
        </w:rPr>
        <w:t xml:space="preserve">, </w:t>
      </w:r>
      <w:r>
        <w:rPr>
          <w:lang w:val="en-US"/>
        </w:rPr>
        <w:t>Loja, Ecuador,</w:t>
      </w:r>
      <w:r w:rsidRPr="003A6666">
        <w:rPr>
          <w:lang w:val="en-US"/>
        </w:rPr>
        <w:t xml:space="preserve"> Chile. </w:t>
      </w:r>
    </w:p>
    <w:p w:rsidR="003A6666" w:rsidRPr="003A6666" w:rsidRDefault="003A6666" w:rsidP="003A6666">
      <w:pPr>
        <w:rPr>
          <w:lang w:val="en-US"/>
        </w:rPr>
      </w:pPr>
      <w:r w:rsidRPr="003A6666">
        <w:rPr>
          <w:lang w:val="en-US"/>
        </w:rPr>
        <w:t>Address: 595 V</w:t>
      </w:r>
      <w:r>
        <w:rPr>
          <w:lang w:val="en-US"/>
        </w:rPr>
        <w:t>ictory Reich</w:t>
      </w:r>
      <w:r w:rsidRPr="003A6666">
        <w:rPr>
          <w:lang w:val="en-US"/>
        </w:rPr>
        <w:t xml:space="preserve"> Avenue,</w:t>
      </w:r>
      <w:r>
        <w:rPr>
          <w:lang w:val="en-US"/>
        </w:rPr>
        <w:t xml:space="preserve"> Loja</w:t>
      </w:r>
      <w:r w:rsidRPr="003A6666">
        <w:rPr>
          <w:lang w:val="en-US"/>
        </w:rPr>
        <w:t xml:space="preserve">, </w:t>
      </w:r>
      <w:r>
        <w:rPr>
          <w:lang w:val="en-US"/>
        </w:rPr>
        <w:t>Ecuador</w:t>
      </w:r>
      <w:r w:rsidRPr="003A6666">
        <w:rPr>
          <w:lang w:val="en-US"/>
        </w:rPr>
        <w:t>.</w:t>
      </w:r>
    </w:p>
    <w:p w:rsidR="003A6666" w:rsidRPr="003A6666" w:rsidRDefault="003A6666" w:rsidP="003A6666">
      <w:pPr>
        <w:spacing w:line="240" w:lineRule="auto"/>
      </w:pPr>
      <w:r w:rsidRPr="003A6666">
        <w:t>E-mail</w:t>
      </w:r>
      <w:r w:rsidRPr="003A6666">
        <w:t>:</w:t>
      </w:r>
    </w:p>
    <w:p w:rsidR="003A6666" w:rsidRDefault="003A6666" w:rsidP="003A6666">
      <w:pPr>
        <w:spacing w:line="240" w:lineRule="auto"/>
      </w:pPr>
      <w:r w:rsidRPr="003A6666">
        <w:t xml:space="preserve">Juan </w:t>
      </w:r>
      <w:proofErr w:type="spellStart"/>
      <w:proofErr w:type="gramStart"/>
      <w:r w:rsidRPr="003A6666">
        <w:t>Perez</w:t>
      </w:r>
      <w:proofErr w:type="spellEnd"/>
      <w:r>
        <w:t xml:space="preserve">;   </w:t>
      </w:r>
      <w:proofErr w:type="gramEnd"/>
      <w:r>
        <w:t xml:space="preserve">     juperez</w:t>
      </w:r>
      <w:r w:rsidRPr="003A6666">
        <w:t>@ucr.ec</w:t>
      </w:r>
    </w:p>
    <w:p w:rsidR="003A6666" w:rsidRDefault="003A6666" w:rsidP="003A6666">
      <w:pPr>
        <w:spacing w:line="240" w:lineRule="auto"/>
      </w:pPr>
      <w:r w:rsidRPr="003A6666">
        <w:t xml:space="preserve">Ricardo </w:t>
      </w:r>
      <w:proofErr w:type="gramStart"/>
      <w:r w:rsidRPr="003A6666">
        <w:t>Romanov</w:t>
      </w:r>
      <w:r>
        <w:t xml:space="preserve">;   </w:t>
      </w:r>
      <w:proofErr w:type="gramEnd"/>
      <w:r>
        <w:t xml:space="preserve"> rromanov@ucr.ec</w:t>
      </w:r>
    </w:p>
    <w:p w:rsidR="003A6666" w:rsidRDefault="003A6666" w:rsidP="003A6666">
      <w:pPr>
        <w:spacing w:line="240" w:lineRule="auto"/>
      </w:pPr>
      <w:r w:rsidRPr="003A6666">
        <w:t xml:space="preserve">Christian </w:t>
      </w:r>
      <w:proofErr w:type="gramStart"/>
      <w:r w:rsidRPr="003A6666">
        <w:t>Madueño</w:t>
      </w:r>
      <w:r>
        <w:t>;  chmadueno@ucr.ec</w:t>
      </w:r>
      <w:proofErr w:type="gramEnd"/>
    </w:p>
    <w:p w:rsidR="003A6666" w:rsidRPr="003A6666" w:rsidRDefault="003A6666" w:rsidP="003A6666">
      <w:pPr>
        <w:spacing w:line="240" w:lineRule="auto"/>
        <w:rPr>
          <w:lang w:val="en-US"/>
        </w:rPr>
      </w:pPr>
      <w:r w:rsidRPr="003A6666">
        <w:rPr>
          <w:lang w:val="en-US"/>
        </w:rPr>
        <w:t xml:space="preserve">Lilian </w:t>
      </w:r>
      <w:proofErr w:type="gramStart"/>
      <w:r w:rsidRPr="003A6666">
        <w:rPr>
          <w:lang w:val="en-US"/>
        </w:rPr>
        <w:t>Pardo</w:t>
      </w:r>
      <w:r w:rsidRPr="003A6666">
        <w:rPr>
          <w:lang w:val="en-US"/>
        </w:rPr>
        <w:t xml:space="preserve">;   </w:t>
      </w:r>
      <w:proofErr w:type="gramEnd"/>
      <w:r w:rsidRPr="003A6666">
        <w:rPr>
          <w:lang w:val="en-US"/>
        </w:rPr>
        <w:t xml:space="preserve">    Lilian-pardo@ucr.ec      (</w:t>
      </w:r>
      <w:r w:rsidRPr="003A6666">
        <w:rPr>
          <w:lang w:val="en-US"/>
        </w:rPr>
        <w:t>corresponding author</w:t>
      </w:r>
      <w:r w:rsidRPr="003A6666">
        <w:rPr>
          <w:lang w:val="en-US"/>
        </w:rPr>
        <w:t>)</w:t>
      </w:r>
    </w:p>
    <w:p w:rsidR="003A6666" w:rsidRPr="003A6666" w:rsidRDefault="003A6666" w:rsidP="003A6666">
      <w:pPr>
        <w:rPr>
          <w:lang w:val="en-US"/>
        </w:rPr>
      </w:pPr>
    </w:p>
    <w:p w:rsidR="00E31B63" w:rsidRDefault="003A6666" w:rsidP="000B752F">
      <w:pPr>
        <w:jc w:val="both"/>
        <w:rPr>
          <w:lang w:val="en-US"/>
        </w:rPr>
      </w:pPr>
      <w:r w:rsidRPr="003A6666">
        <w:rPr>
          <w:lang w:val="en-US"/>
        </w:rPr>
        <w:t xml:space="preserve">The apoptosis is characterized by cytoplasmic and nuclear fragmentation, chromatin condensation and DNA fragmentation. Currently available methods for quantifying apoptosis have various limitations: (a) different staining methods involving multiple steps, (b) difficulty for quantifying cell fluorescence and (c) non-specific detection. The objective of this study was to quantify apoptosis of in vitro matured of dairy and beef cattle, using acridine orange/propidium iodide (AO/PI) and counting of total fluorescence in a cell using image J software. Ovaries of dairy and beef cows were collected at an abattoir and transported within 2 hours to the laboratory. Cumulus–oocyte–complexes (COCs) were recovered by follicle aspiration with a 20G needle and syringe. The COCs recovered (quality 1 and 2) were matured individually for 23 h at 39˚C under 5% CO2.  In order to quantify the cumulus expansion, the cumulus area was measured in individual COCs before and after in vitro maturation. The matured oocytes were incubated at 37 ˚C in 10 ul of PBS supplemented with dual fluorescent staining solution (AO/PI, Logos Biosystems) for 5 minutes before visualization. The morphology of apoptotic cells was examined and counted within 10 min using inverted fluorescent microscope (EVOS TL, Thermo Fisher Scientific Inc) and processed with image J software v 1.43u (https://imagej.nih.gov/ij). ImageJ is available in the public domain (i.e., free). The overlay images were captured in TIFF file format with inverted fluorescent microscope with GFP and RFP channel.  Images were converted to greyscale of 8 bits and different channels were selected to measure fluorescence. Cell of interest were selected using any of the drawing/selection tools and analyzed by measuring area, mean gray value and integrated density. The region next to the cell that has no fluorescence, was considered as background. Comparison analysis between groups were performed by analysis of variance (ANOVA) using </w:t>
      </w:r>
      <w:proofErr w:type="spellStart"/>
      <w:r w:rsidRPr="003A6666">
        <w:rPr>
          <w:lang w:val="en-US"/>
        </w:rPr>
        <w:t>InfoStat</w:t>
      </w:r>
      <w:proofErr w:type="spellEnd"/>
      <w:r w:rsidRPr="003A6666">
        <w:rPr>
          <w:lang w:val="en-US"/>
        </w:rPr>
        <w:t xml:space="preserve"> program (Buenos Aires, Argentina). Differences were considered significant at p&lt;0.05. The area of COCs from dairy (71 150 µm2) and beef (110 745 µm2) cows, before in vitro maturation showed no significant differences (p=0,074). Apoptosis index of cumulus cells of oocytes matured in vitro in dairy (26,3%) and beef (30,6%) cows showed no statistical difference (p=0,65). Nevertheless, in vitro matured COCS for 23 h of beef cows </w:t>
      </w:r>
      <w:r w:rsidRPr="003A6666">
        <w:rPr>
          <w:lang w:val="en-US"/>
        </w:rPr>
        <w:lastRenderedPageBreak/>
        <w:t>(781 382 µm2) had greater expansion (7,05 versus 4,7 times) that COCs of dairy cows (337 832 µm2) (p=0,045). In conclusion, the protocol using acridine orange/propidium iodide (AO/PI), is the simple and quick method for measuring apoptosis in cumulus cell of oocyte. The program image J complements the work of staining fluorescence and makes possible the measurement of the fluorescence of a cell in an objective manner.</w:t>
      </w:r>
    </w:p>
    <w:p w:rsidR="000B752F" w:rsidRDefault="000B752F" w:rsidP="000B752F">
      <w:pPr>
        <w:jc w:val="both"/>
        <w:rPr>
          <w:lang w:val="en-US"/>
        </w:rPr>
      </w:pPr>
    </w:p>
    <w:p w:rsidR="000B752F" w:rsidRDefault="000B752F" w:rsidP="000B752F">
      <w:pPr>
        <w:jc w:val="both"/>
        <w:rPr>
          <w:lang w:val="en-US"/>
        </w:rPr>
      </w:pPr>
    </w:p>
    <w:p w:rsidR="000B752F" w:rsidRPr="003A6666" w:rsidRDefault="000B752F" w:rsidP="000B752F">
      <w:pPr>
        <w:jc w:val="both"/>
        <w:rPr>
          <w:lang w:val="en-US"/>
        </w:rPr>
      </w:pPr>
      <w:r w:rsidRPr="000B752F">
        <w:rPr>
          <w:lang w:val="en-US"/>
        </w:rPr>
        <w:t xml:space="preserve">This work was supported by </w:t>
      </w:r>
      <w:r>
        <w:rPr>
          <w:lang w:val="en-US"/>
        </w:rPr>
        <w:t xml:space="preserve">1012-2020 </w:t>
      </w:r>
      <w:r w:rsidRPr="000B752F">
        <w:rPr>
          <w:lang w:val="en-US"/>
        </w:rPr>
        <w:t xml:space="preserve">FONDECYT, </w:t>
      </w:r>
      <w:r>
        <w:rPr>
          <w:lang w:val="en-US"/>
        </w:rPr>
        <w:t>Ecuador</w:t>
      </w:r>
    </w:p>
    <w:sectPr w:rsidR="000B752F" w:rsidRPr="003A6666" w:rsidSect="00003D3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666"/>
    <w:rsid w:val="00003D34"/>
    <w:rsid w:val="000B752F"/>
    <w:rsid w:val="003A6666"/>
    <w:rsid w:val="0061457A"/>
    <w:rsid w:val="00E31B63"/>
  </w:rsids>
  <m:mathPr>
    <m:mathFont m:val="Cambria Math"/>
    <m:brkBin m:val="before"/>
    <m:brkBinSub m:val="--"/>
    <m:smallFrac m:val="0"/>
    <m:dispDef/>
    <m:lMargin m:val="0"/>
    <m:rMargin m:val="0"/>
    <m:defJc m:val="centerGroup"/>
    <m:wrapIndent m:val="1440"/>
    <m:intLim m:val="subSup"/>
    <m:naryLim m:val="undOvr"/>
  </m:mathPr>
  <w:themeFontLang w:val="es-CL" w:eastAsia="es-C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C640D"/>
  <w15:chartTrackingRefBased/>
  <w15:docId w15:val="{2A87AEA8-58E7-4F8D-9995-EE755FEE2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A6666"/>
    <w:rPr>
      <w:color w:val="0563C1" w:themeColor="hyperlink"/>
      <w:u w:val="single"/>
    </w:rPr>
  </w:style>
  <w:style w:type="character" w:styleId="Mencinsinresolver">
    <w:name w:val="Unresolved Mention"/>
    <w:basedOn w:val="Fuentedeprrafopredeter"/>
    <w:uiPriority w:val="99"/>
    <w:semiHidden/>
    <w:unhideWhenUsed/>
    <w:rsid w:val="003A6666"/>
    <w:rPr>
      <w:color w:val="605E5C"/>
      <w:shd w:val="clear" w:color="auto" w:fill="E1DFDD"/>
    </w:rPr>
  </w:style>
  <w:style w:type="paragraph" w:styleId="Prrafodelista">
    <w:name w:val="List Paragraph"/>
    <w:basedOn w:val="Normal"/>
    <w:uiPriority w:val="34"/>
    <w:qFormat/>
    <w:rsid w:val="003A66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1105</Words>
  <Characters>6083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Esther Rivas Palma</dc:creator>
  <cp:keywords/>
  <dc:description/>
  <cp:lastModifiedBy>Victoria Esther Rivas Palma</cp:lastModifiedBy>
  <cp:revision>2</cp:revision>
  <dcterms:created xsi:type="dcterms:W3CDTF">2020-01-25T21:21:00Z</dcterms:created>
  <dcterms:modified xsi:type="dcterms:W3CDTF">2020-01-25T21:46:00Z</dcterms:modified>
</cp:coreProperties>
</file>